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B4" w:rsidRDefault="002266B4" w:rsidP="002266B4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2266B4" w:rsidRDefault="002266B4" w:rsidP="002266B4">
      <w:pPr>
        <w:suppressLineNumbers/>
        <w:jc w:val="center"/>
        <w:rPr>
          <w:b/>
          <w:i/>
        </w:rPr>
      </w:pP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1. Способ связи в системе беспроводной связи из точки к множеству точек </w:t>
      </w:r>
      <w:r w:rsidRPr="006D1B14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имеющей множество секторов, в которой каждый сектор включает в себя по меньшей мере одну базовую станцию и множество удаленных станций, причем способ содержит этапы, на которых:</w:t>
      </w:r>
    </w:p>
    <w:p w:rsidR="002266B4" w:rsidRPr="006D1B1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определяют посредством процессора общую ширину полосы для системы беспроводной связи 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 этом общая ширина полосы:</w:t>
      </w:r>
    </w:p>
    <w:p w:rsidR="002266B4" w:rsidRPr="006D1B1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a</w:t>
      </w:r>
      <w:r w:rsidRPr="006D1B1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представляет собой диапазон частот непрерывной полосы, выделенной системе беспроводной связи 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или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b</w:t>
      </w:r>
      <w:r w:rsidRPr="006D1B1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основывается на одном или более каналах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когда система беспроводной связи 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осуществляет связь в полосе частной наземной радиосвязи </w:t>
      </w:r>
      <w:r w:rsidRPr="006D1B14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имеющей один или более каналов;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разбивают посредством процессора общую ширину полосы на множество подканалов, причем каждый подканал имеет фиксированную ширину полосы подканала;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назначают посредством процессора каждому сектору в системе беспроводной связи 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поднабор множества подканалов;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создают посредством процессора битовую карту подканалов для множества подканалов;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каждого сектора посредством процессора создают заполненную битовую карту подканалов, причем заполненная битовая карта подканалов задает указатель доступности, который указывает, является ли каждый подканал доступным или недоступным для конкретного сектора; и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осуществляют связь посредством базовой станции по меньшей мере одного сектора из множества секторов с по меньшей мере одной из множества удаленных станций по подканалам, выделенным этому по меньшей мере одному сектору согласно соответственной заполненной битовой карте подканалов.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Способ по п.1, в котором определение общей ширины полосы на основе одного или более каналов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дополнительно содержит этап, на котором устанавливают начальное значение для ширины полосы равным самому нижнему краю канала </w:t>
      </w:r>
      <w:r>
        <w:rPr>
          <w:rFonts w:ascii="Times New Roman" w:hAnsi="Times New Roman"/>
          <w:lang w:val="en-US"/>
        </w:rPr>
        <w:t>PMLR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имеющего самую низкую частоту среди каналов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полосе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 устанавливают конечное значение равным самому верхнему краю канала </w:t>
      </w:r>
      <w:r>
        <w:rPr>
          <w:rFonts w:ascii="Times New Roman" w:hAnsi="Times New Roman"/>
          <w:lang w:val="en-US"/>
        </w:rPr>
        <w:t>PMLR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имеющего самую высокую частоту среди каналов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полосе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>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Способ по п.1, в котором фиксированная ширина полосы подканала устанавливается так, что множество подканалов является целым числом подканалов внутри общей ширины полосы.</w:t>
      </w:r>
    </w:p>
    <w:p w:rsidR="002266B4" w:rsidRPr="006D1B1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Способ по п.1, в котором система беспроводной связи 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функционирует в полосе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имеющей один или более каналов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или:</w:t>
      </w:r>
    </w:p>
    <w:p w:rsidR="002266B4" w:rsidRPr="006D1B1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a</w:t>
      </w:r>
      <w:r w:rsidRPr="006D1B1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фиксированная ширина полосы подканала равна ширине полосы одного или более каналов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или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b</w:t>
      </w:r>
      <w:r w:rsidRPr="006D1B1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фиксированная ширина полосы подканала равна части ширины полосы одного или более каналов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устанавливается так, что множество подканалов является целым числом подканалов внутри ширины полосы одного или более каналов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>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Способ по п.1, дополнительно содержащий этап, на котором изменяют заполненную битовую карту подканалов для одного или более секторов из множества секторов во время функционирования.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Способ по п.1, в котором если указатель доступности указывает, что конкретный подканал является доступным, то определяют, используется ли этот конкретный подканал также для голосовой связи.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Способ по п.1, в котором битовая карта подканалов для первого сектора для конкретного подканала имеет указатель доступности, который отличается от указателя доступности для того же самого конкретного подканала в битовой карте подканалов для второго сектора.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Способ по п.1, дополнительно содержащий этап, на котором создают одну или более групп подканалов, которая является поднабором одного или более множества каналов, причем одна или более групп подканалов включают в себя подканалы в поднаборе одного или более множества каналов, которые являются смежными по частоте.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Способ по п.1, в котором для каждого сектора, каждая из множества удаленных станций функционирует в одном подканале или группе подканалов, причем функционирование в группе подканалов содержит использование одного канала группы подканалов для передачи сообщений между базовой станцией и конкретной удаленной станцией, которые обеспечивают информацию связи, а остальные каналы в группе подканалов используются для передачи данных.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Способ по п.1, в котором один или более каналов </w:t>
      </w:r>
      <w:r>
        <w:rPr>
          <w:rFonts w:ascii="Times New Roman" w:hAnsi="Times New Roman"/>
          <w:lang w:val="en-US"/>
        </w:rPr>
        <w:t>PMLR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составляют 5 кГц, 6,25 кГц, 7,5 кГц, 12,5 кГц, 15 кГц, 25 кГц или 50 кГц.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Способ по п.1, в котором волновая форма сигнала между базовой станцией и множеством удаленных станций представляет соответствует протоколу эфирного интерфейса.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Способ по п.1, в котором волновая форма сигнала, передаваемого базовой станцией во множество удаленных станций, соответствует </w:t>
      </w:r>
      <w:r>
        <w:rPr>
          <w:rFonts w:ascii="Times New Roman" w:hAnsi="Times New Roman"/>
          <w:lang w:val="en-US"/>
        </w:rPr>
        <w:t>OFDM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512 поднесущими.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Способ по п.12, в котором число множества подканалов составляет 512, и имеется одна поднесущая на подканал.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Способ по п.12, в котором все подканалы ортогональны друг другу.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Способ по п.13, дополнительно содержащий этап, на котором мультиплексируют периодическое сообщение синхронизации, сообщение исследования частотного отклика канала, сообщение администрирования подканала и сообщение передачи данных в каждом подканале.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16. Способ по п.1, в котором волновая форма сигнала, передаваемого множеством удаленных станций в базовую станцию, соответствует </w:t>
      </w:r>
      <w:r>
        <w:rPr>
          <w:rFonts w:ascii="Times New Roman" w:hAnsi="Times New Roman"/>
          <w:lang w:val="en-US"/>
        </w:rPr>
        <w:t>OFDMA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или </w:t>
      </w:r>
      <w:r>
        <w:rPr>
          <w:rFonts w:ascii="Times New Roman" w:hAnsi="Times New Roman"/>
          <w:lang w:val="en-US"/>
        </w:rPr>
        <w:t>FDMA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одной несущей.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Система беспроводной связи из точки к множеству точек </w:t>
      </w:r>
      <w:r w:rsidRPr="006D1B14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имеющая множество секторов, в которой каждый сектор включает в себя по меньшей мере одну базовую станцию и множество удаленных станций, причем система содержит: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процессор, выполненный с возможностью: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определять общую ширину полосы для системы беспроводной связи 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 этом общая ширина полосы:</w:t>
      </w:r>
    </w:p>
    <w:p w:rsidR="002266B4" w:rsidRPr="006D1B1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представляет собой диапазон частот непрерывной полосы, выделенной системе беспроводной связи 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или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d</w:t>
      </w:r>
      <w:r w:rsidRPr="006D1B1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основывается на одном или более каналах 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когда система беспроводной связи 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осуществляет связь в полосе частной наземной радиосвязи </w:t>
      </w:r>
      <w:r w:rsidRPr="006D1B14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PLMR</w:t>
      </w:r>
      <w:r w:rsidRPr="006D1B14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имеющей один или более каналов;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разбивать общую ширину полосы на множество подканалов, причем каждый подканал имеет фиксированную ширину полосы подканала;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назначать каждому сектору в беспроводной системе </w:t>
      </w:r>
      <w:r>
        <w:rPr>
          <w:rFonts w:ascii="Times New Roman" w:hAnsi="Times New Roman"/>
          <w:lang w:val="en-US"/>
        </w:rPr>
        <w:t>PtMP</w:t>
      </w:r>
      <w:r w:rsidRPr="006D1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поднабор множества подканалов;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создавать битовую карту подканалов для множества подканалов;</w:t>
      </w:r>
    </w:p>
    <w:p w:rsidR="002266B4" w:rsidRDefault="002266B4" w:rsidP="002266B4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каждого сектора, создавать заполненную битовую карту подканалов, причем заполненная битовая карта подканалов задает указатель доступности, который указывает, является ли каждый подканал доступным или недоступным для конкретного сектора; и</w:t>
      </w:r>
    </w:p>
    <w:p w:rsidR="002266B4" w:rsidRDefault="002266B4" w:rsidP="002266B4">
      <w:pPr>
        <w:pStyle w:val="1"/>
        <w:ind w:firstLine="140"/>
        <w:jc w:val="both"/>
      </w:pPr>
      <w:r>
        <w:rPr>
          <w:rFonts w:ascii="Times New Roman" w:hAnsi="Times New Roman"/>
        </w:rPr>
        <w:t>осуществлять посредством базовой станции по меньшей мере одного сектора из множества секторов связь с по меньшей мере одной из множества удаленных станций по подканалам, выделенным этому по меньшей мере одному сектору согласно соответственной заполненной битовой карте подканалов.</w:t>
      </w:r>
    </w:p>
    <w:p w:rsidR="00D54DA9" w:rsidRDefault="002266B4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B4"/>
    <w:rsid w:val="002266B4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9DFFE-A457-419F-B3FF-2B9414F5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6B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266B4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2022-12-08T09:53:00Z</dcterms:created>
  <dcterms:modified xsi:type="dcterms:W3CDTF">2022-12-08T09:54:00Z</dcterms:modified>
</cp:coreProperties>
</file>