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3023" w:rsidRDefault="00E43023" w:rsidP="00E43023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E43023" w:rsidRDefault="00E43023" w:rsidP="00E43023">
      <w:pPr>
        <w:suppressLineNumbers/>
        <w:jc w:val="center"/>
        <w:rPr>
          <w:b/>
          <w:i/>
        </w:rPr>
      </w:pPr>
    </w:p>
    <w:p w:rsidR="00E43023" w:rsidRDefault="00E43023" w:rsidP="00E4302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Способ получения графенсодержащих наноматериалов из углепродуктов методом электродугового разряда, включающий стадии: нагревание, заполнение газом, дуговой разряд, сбор готового продукта,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для получения графена используют в качестве электродного материала кокс на основе каменного угля длиннопламенного угля месторождений «Шубарколь» марки «Д», полученный при 900ºС в среде азота, реактор заполняют инертным газом N</w:t>
      </w:r>
      <w:r w:rsidRPr="006575F5">
        <w:rPr>
          <w:rFonts w:ascii="Times New Roman" w:hAnsi="Times New Roman"/>
          <w:vertAlign w:val="subscript"/>
        </w:rPr>
        <w:t>2</w:t>
      </w:r>
      <w:r>
        <w:rPr>
          <w:rFonts w:ascii="Times New Roman" w:hAnsi="Times New Roman"/>
        </w:rPr>
        <w:t xml:space="preserve"> в течение 2 мин, ток дуги варьирует от 150 до 300 А, преимущественно, время синтеза составляет 2-10 мин, предпочтительно 300 А в течение 10 мин.</w:t>
      </w:r>
    </w:p>
    <w:p w:rsidR="00D54DA9" w:rsidRDefault="00E43023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3023"/>
    <w:rsid w:val="00287BAB"/>
    <w:rsid w:val="003A0F65"/>
    <w:rsid w:val="00505F48"/>
    <w:rsid w:val="00605462"/>
    <w:rsid w:val="00727DFC"/>
    <w:rsid w:val="008C10CF"/>
    <w:rsid w:val="009A6B8A"/>
    <w:rsid w:val="00C86049"/>
    <w:rsid w:val="00CC2A79"/>
    <w:rsid w:val="00D50F92"/>
    <w:rsid w:val="00E43023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1E1746-E81D-4F7B-BC2F-CE843EC47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3023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E43023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2022-07-14T05:36:00Z</dcterms:created>
  <dcterms:modified xsi:type="dcterms:W3CDTF">2022-07-14T05:37:00Z</dcterms:modified>
</cp:coreProperties>
</file>