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69F9" w:rsidRDefault="00A269F9" w:rsidP="00A269F9">
      <w:pPr>
        <w:suppressLineNumbers/>
        <w:jc w:val="center"/>
        <w:rPr>
          <w:b/>
          <w:i/>
        </w:rPr>
      </w:pPr>
      <w:r>
        <w:rPr>
          <w:b/>
          <w:bCs/>
          <w:i/>
          <w:iCs/>
        </w:rPr>
        <w:t>ФОРМУЛА ИЗОБРЕТЕНИЯ</w:t>
      </w:r>
    </w:p>
    <w:p w:rsidR="00A269F9" w:rsidRDefault="00A269F9" w:rsidP="00A269F9">
      <w:pPr>
        <w:suppressLineNumbers/>
        <w:jc w:val="center"/>
        <w:rPr>
          <w:b/>
          <w:i/>
        </w:rPr>
      </w:pPr>
    </w:p>
    <w:p w:rsidR="00A269F9" w:rsidRDefault="00A269F9" w:rsidP="00A269F9">
      <w:pPr>
        <w:pStyle w:val="1"/>
        <w:ind w:firstLine="140"/>
        <w:jc w:val="both"/>
        <w:rPr>
          <w:rFonts w:ascii="Times New Roman" w:hAnsi="Times New Roman"/>
        </w:rPr>
      </w:pPr>
      <w:r>
        <w:rPr>
          <w:rFonts w:ascii="Times New Roman" w:hAnsi="Times New Roman"/>
        </w:rPr>
        <w:t>1. Способ выщелачивания медьсодержащих руд, таких как медьсодержащие сульфидные руды, такие как сульфидные руды, которые содержат медьсодержащие минералы, такие как халькопирит и/или энаргит, или концентратов руд, или хвостов руд или концентратов, который включает выщелачивание медьсодержащих руд или концентратов или хвостов руд или концентратов с использованием раствора для выщелачивания в присутствии добавки, которая улучшает растворение меди из медьсодержащих минералов, содержащихся в рудах и концентратах, путем образования комплекса (a) серы, которая содержится в медьсодержащих минералах из руд, с (b) добавкой.</w:t>
      </w:r>
    </w:p>
    <w:p w:rsidR="00A269F9" w:rsidRDefault="00A269F9" w:rsidP="00A269F9">
      <w:pPr>
        <w:pStyle w:val="1"/>
        <w:ind w:firstLine="140"/>
        <w:jc w:val="both"/>
        <w:rPr>
          <w:rFonts w:ascii="Times New Roman" w:hAnsi="Times New Roman"/>
        </w:rPr>
      </w:pPr>
      <w:r>
        <w:rPr>
          <w:rFonts w:ascii="Times New Roman" w:hAnsi="Times New Roman"/>
        </w:rPr>
        <w:t>2. Способ по п.1, где комплекс содержит серу из медьсодержащих минералов и добавку, при этом добавка обеспечивает разрушение пассивирующего слоя или подавляет образование слоя и, следовательно, обеспечивает больший доступ для выщелачивания меди из медьсодержащих минералов в ходе осуществления способа.</w:t>
      </w:r>
    </w:p>
    <w:p w:rsidR="00A269F9" w:rsidRDefault="00A269F9" w:rsidP="00A269F9">
      <w:pPr>
        <w:pStyle w:val="1"/>
        <w:ind w:firstLine="140"/>
        <w:jc w:val="both"/>
        <w:rPr>
          <w:rFonts w:ascii="Times New Roman" w:hAnsi="Times New Roman"/>
        </w:rPr>
      </w:pPr>
      <w:r>
        <w:rPr>
          <w:rFonts w:ascii="Times New Roman" w:hAnsi="Times New Roman"/>
        </w:rPr>
        <w:t>3. Способ по п.1 или п.2, где добавка содержит азотсодержащий комплексообразователь, который содержит по меньшей мере два атома азота, разделенные двумя атомами углерода, чтобы добавка могла образовывать комплексы серы, которая содержится в медьсодержащих минералах из руд, с добавкой.</w:t>
      </w:r>
    </w:p>
    <w:p w:rsidR="00A269F9" w:rsidRDefault="00A269F9" w:rsidP="00A269F9">
      <w:pPr>
        <w:pStyle w:val="1"/>
        <w:ind w:firstLine="140"/>
        <w:jc w:val="both"/>
        <w:rPr>
          <w:rFonts w:ascii="Times New Roman" w:hAnsi="Times New Roman"/>
        </w:rPr>
      </w:pPr>
      <w:r>
        <w:rPr>
          <w:rFonts w:ascii="Times New Roman" w:hAnsi="Times New Roman"/>
        </w:rPr>
        <w:t>4. Способ по любому из предыдущих пунктов, где добавка представляет собой соединение, которое содержит следующую молекулярную каркасную структуру, или полимер, который содержит молекулярную каркасную структуру, повторяющуюся на протяжении полимера:</w:t>
      </w:r>
    </w:p>
    <w:p w:rsidR="00A269F9" w:rsidRDefault="00A269F9" w:rsidP="00A269F9">
      <w:pPr>
        <w:pStyle w:val="1"/>
        <w:ind w:firstLine="140"/>
        <w:jc w:val="both"/>
        <w:rPr>
          <w:rFonts w:ascii="Times New Roman" w:hAnsi="Times New Roman"/>
        </w:rPr>
      </w:pPr>
    </w:p>
    <w:p w:rsidR="00A269F9" w:rsidRDefault="00A269F9" w:rsidP="00A269F9">
      <w:pPr>
        <w:pStyle w:val="1"/>
        <w:ind w:firstLine="140"/>
        <w:jc w:val="both"/>
        <w:rPr>
          <w:rFonts w:ascii="Times New Roman" w:hAnsi="Times New Roman"/>
        </w:rPr>
      </w:pPr>
      <w:r>
        <w:rPr>
          <w:rFonts w:ascii="Times New Roman" w:hAnsi="Times New Roman"/>
          <w:noProof/>
          <w:lang w:eastAsia="ru-RU"/>
        </w:rPr>
        <w:drawing>
          <wp:inline distT="0" distB="0" distL="0" distR="0" wp14:anchorId="48A0DC69" wp14:editId="5E347EC3">
            <wp:extent cx="1371600" cy="967918"/>
            <wp:effectExtent l="0" t="0" r="0" b="381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1.png"/>
                    <pic:cNvPicPr/>
                  </pic:nvPicPr>
                  <pic:blipFill>
                    <a:blip r:embed="rId4">
                      <a:extLst>
                        <a:ext uri="{28A0092B-C50C-407E-A947-70E740481C1C}">
                          <a14:useLocalDpi xmlns:a14="http://schemas.microsoft.com/office/drawing/2010/main" val="0"/>
                        </a:ext>
                      </a:extLst>
                    </a:blip>
                    <a:stretch>
                      <a:fillRect/>
                    </a:stretch>
                  </pic:blipFill>
                  <pic:spPr>
                    <a:xfrm>
                      <a:off x="0" y="0"/>
                      <a:ext cx="1402060" cy="989413"/>
                    </a:xfrm>
                    <a:prstGeom prst="rect">
                      <a:avLst/>
                    </a:prstGeom>
                  </pic:spPr>
                </pic:pic>
              </a:graphicData>
            </a:graphic>
          </wp:inline>
        </w:drawing>
      </w:r>
    </w:p>
    <w:p w:rsidR="00A269F9" w:rsidRDefault="00A269F9" w:rsidP="00A269F9">
      <w:pPr>
        <w:pStyle w:val="1"/>
        <w:ind w:firstLine="140"/>
        <w:jc w:val="both"/>
        <w:rPr>
          <w:rFonts w:ascii="Times New Roman" w:hAnsi="Times New Roman"/>
        </w:rPr>
      </w:pPr>
    </w:p>
    <w:p w:rsidR="00A269F9" w:rsidRDefault="00A269F9" w:rsidP="00A269F9">
      <w:pPr>
        <w:pStyle w:val="1"/>
        <w:ind w:firstLine="140"/>
        <w:jc w:val="both"/>
        <w:rPr>
          <w:rFonts w:ascii="Times New Roman" w:hAnsi="Times New Roman"/>
        </w:rPr>
      </w:pPr>
      <w:r>
        <w:rPr>
          <w:rFonts w:ascii="Times New Roman" w:hAnsi="Times New Roman"/>
        </w:rPr>
        <w:t>где каждый из двух атомов азота независимо замещен или не замещен, каждый атом азота выбран из группы, состоящей из первичной аминогруппы, вторичной аминогруппы, третичной аминогруппы, при этом каждый из двух атомов углерода может быть замещенным или незамещенным;</w:t>
      </w:r>
    </w:p>
    <w:p w:rsidR="00A269F9" w:rsidRDefault="00A269F9" w:rsidP="00A269F9">
      <w:pPr>
        <w:pStyle w:val="1"/>
        <w:ind w:firstLine="140"/>
        <w:jc w:val="both"/>
        <w:rPr>
          <w:rFonts w:ascii="Times New Roman" w:hAnsi="Times New Roman"/>
        </w:rPr>
      </w:pPr>
      <w:r>
        <w:rPr>
          <w:rFonts w:ascii="Times New Roman" w:hAnsi="Times New Roman"/>
        </w:rPr>
        <w:t>связи между атомами азота и атомами углерода в каркасной структуре могут представлять собой одинарные связи или кратные связи; и</w:t>
      </w:r>
    </w:p>
    <w:p w:rsidR="00A269F9" w:rsidRDefault="00A269F9" w:rsidP="00A269F9">
      <w:pPr>
        <w:pStyle w:val="1"/>
        <w:ind w:firstLine="140"/>
        <w:jc w:val="both"/>
        <w:rPr>
          <w:rFonts w:ascii="Times New Roman" w:hAnsi="Times New Roman"/>
        </w:rPr>
      </w:pPr>
      <w:r>
        <w:rPr>
          <w:rFonts w:ascii="Times New Roman" w:hAnsi="Times New Roman"/>
        </w:rPr>
        <w:t>связи между двумя атомами углерода в каркасной структуре могут представлять собой одинарные связи или кратные связи.</w:t>
      </w:r>
    </w:p>
    <w:p w:rsidR="00A269F9" w:rsidRDefault="00A269F9" w:rsidP="00A269F9">
      <w:pPr>
        <w:pStyle w:val="1"/>
        <w:ind w:firstLine="140"/>
        <w:jc w:val="both"/>
        <w:rPr>
          <w:rFonts w:ascii="Times New Roman" w:hAnsi="Times New Roman"/>
        </w:rPr>
      </w:pPr>
      <w:r>
        <w:rPr>
          <w:rFonts w:ascii="Times New Roman" w:hAnsi="Times New Roman"/>
        </w:rPr>
        <w:t>5. Способ по любому из п.п.1-3, где добавка представляет собой соединение формулы (II) или полимер, образованный из двух или более мономеров формулы (II):</w:t>
      </w:r>
    </w:p>
    <w:p w:rsidR="00A269F9" w:rsidRDefault="00A269F9" w:rsidP="00A269F9">
      <w:pPr>
        <w:pStyle w:val="1"/>
        <w:ind w:firstLine="140"/>
        <w:jc w:val="both"/>
        <w:rPr>
          <w:rFonts w:ascii="Times New Roman" w:hAnsi="Times New Roman"/>
        </w:rPr>
      </w:pPr>
    </w:p>
    <w:p w:rsidR="00A269F9" w:rsidRDefault="00A269F9" w:rsidP="00A269F9">
      <w:pPr>
        <w:pStyle w:val="1"/>
        <w:ind w:firstLine="140"/>
        <w:jc w:val="both"/>
        <w:rPr>
          <w:rFonts w:ascii="Times New Roman" w:hAnsi="Times New Roman"/>
        </w:rPr>
      </w:pPr>
      <w:r>
        <w:rPr>
          <w:rFonts w:ascii="Times New Roman" w:hAnsi="Times New Roman"/>
          <w:noProof/>
          <w:lang w:eastAsia="ru-RU"/>
        </w:rPr>
        <w:drawing>
          <wp:inline distT="0" distB="0" distL="0" distR="0" wp14:anchorId="1EEFD7C8" wp14:editId="7235DE6F">
            <wp:extent cx="2744774" cy="10541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2.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762200" cy="1060792"/>
                    </a:xfrm>
                    <a:prstGeom prst="rect">
                      <a:avLst/>
                    </a:prstGeom>
                  </pic:spPr>
                </pic:pic>
              </a:graphicData>
            </a:graphic>
          </wp:inline>
        </w:drawing>
      </w:r>
    </w:p>
    <w:p w:rsidR="00A269F9" w:rsidRDefault="00A269F9" w:rsidP="00A269F9">
      <w:pPr>
        <w:pStyle w:val="1"/>
        <w:ind w:firstLine="140"/>
        <w:jc w:val="both"/>
        <w:rPr>
          <w:rFonts w:ascii="Times New Roman" w:hAnsi="Times New Roman"/>
        </w:rPr>
      </w:pPr>
    </w:p>
    <w:p w:rsidR="00A269F9" w:rsidRDefault="00A269F9" w:rsidP="00A269F9">
      <w:pPr>
        <w:pStyle w:val="1"/>
        <w:ind w:firstLine="140"/>
        <w:jc w:val="both"/>
        <w:rPr>
          <w:rFonts w:ascii="Times New Roman" w:hAnsi="Times New Roman"/>
        </w:rPr>
      </w:pPr>
      <w:r>
        <w:rPr>
          <w:rFonts w:ascii="Times New Roman" w:hAnsi="Times New Roman"/>
        </w:rPr>
        <w:t>где в формулах (II) и (III)</w:t>
      </w:r>
    </w:p>
    <w:p w:rsidR="00A269F9" w:rsidRDefault="00A269F9" w:rsidP="00A269F9">
      <w:pPr>
        <w:pStyle w:val="1"/>
        <w:ind w:firstLine="140"/>
        <w:jc w:val="both"/>
        <w:rPr>
          <w:rFonts w:ascii="Times New Roman" w:hAnsi="Times New Roman"/>
        </w:rPr>
      </w:pPr>
      <w:r>
        <w:rPr>
          <w:rFonts w:ascii="Times New Roman" w:hAnsi="Times New Roman"/>
        </w:rPr>
        <w:t>каждый из R1, R2, R3, R4, R5 и R6 независимо выбран из электрона не поделенной пары, H, алкильных групп (например, C1-C5алкильных групп), алкенильных групп (например, C2-C5алкенильных групп), алкинильных групп (например, C2-C5алкинильных групп) и алкиламиногрупп (например, C1-C5алкиламиногрупп), или заместители при каждом из двух атомов азота вместе образуют алкильную или алкинильную группу, которая соединяет два атома азота с образованием кольца (например, заместители вместе образуют линкер, содержащий один или два атома углерода, соединяющий атомы азота с образованием кольца);</w:t>
      </w:r>
    </w:p>
    <w:p w:rsidR="00A269F9" w:rsidRDefault="00A269F9" w:rsidP="00A269F9">
      <w:pPr>
        <w:pStyle w:val="1"/>
        <w:ind w:firstLine="140"/>
        <w:jc w:val="both"/>
        <w:rPr>
          <w:rFonts w:ascii="Times New Roman" w:hAnsi="Times New Roman"/>
        </w:rPr>
      </w:pPr>
      <w:r>
        <w:rPr>
          <w:rFonts w:ascii="Times New Roman" w:hAnsi="Times New Roman"/>
        </w:rPr>
        <w:t xml:space="preserve">каждый из R7, R8, R9 и R10 независимо выбран из H, алкила (например, C1-C5алкила), алкенила (например, C2-C5алкенила), алкинила (например, C2-C5алкинила), OH, алкилоксигрупп (например, C1-C5алкилоксигрупп), алкенилоксигрупп (например, C2-C5алкинилоксигрупп), алкинилоксигрупп (например, C2-C5алкинилоксигрупп), C(=O)R (где R представляет собой алкил, алкенил или алкинил), C(O)OH, C(O)OR (где R представляет собой алкил, алкенил или алкинил), OC(=O)R (где R представляет собой алкил, алкенил или алкинил), амино, алкиламино (например, C1-C5алкил), алкениламино (например, C2-C5алкениламино), алкиниламино (например, C2-C5алкиниламино), C(O)NH2, C(O)NHR (где R представляет собой алкил, алкенил или алкинил), C(O)NR2 (где R представляет собой алкил, алкенил или алкинил), или R7 и R8 вместе </w:t>
      </w:r>
      <w:r>
        <w:rPr>
          <w:rFonts w:ascii="Times New Roman" w:hAnsi="Times New Roman"/>
        </w:rPr>
        <w:lastRenderedPageBreak/>
        <w:t>и/или R9 и R10 вместе могут быть выбраны из =O, =NH или =NH (где R представляет собой алкил, алкенил или алкинил);</w:t>
      </w:r>
    </w:p>
    <w:p w:rsidR="00A269F9" w:rsidRDefault="00A269F9" w:rsidP="00A269F9">
      <w:pPr>
        <w:pStyle w:val="1"/>
        <w:ind w:firstLine="140"/>
        <w:jc w:val="both"/>
        <w:rPr>
          <w:rFonts w:ascii="Times New Roman" w:hAnsi="Times New Roman"/>
        </w:rPr>
      </w:pPr>
      <w:r>
        <w:rPr>
          <w:rFonts w:ascii="Times New Roman" w:hAnsi="Times New Roman"/>
        </w:rPr>
        <w:t xml:space="preserve">и в формуле (III) </w:t>
      </w:r>
    </w:p>
    <w:p w:rsidR="00A269F9" w:rsidRDefault="00A269F9" w:rsidP="00A269F9">
      <w:pPr>
        <w:pStyle w:val="1"/>
        <w:ind w:firstLine="140"/>
        <w:jc w:val="both"/>
        <w:rPr>
          <w:rFonts w:ascii="Times New Roman" w:hAnsi="Times New Roman"/>
        </w:rPr>
      </w:pPr>
      <w:r>
        <w:rPr>
          <w:rFonts w:ascii="Times New Roman" w:hAnsi="Times New Roman"/>
        </w:rPr>
        <w:t>каждый из R1 или R2 независимо выбран из групп, определенных для R1 и R2 выше, или присоединен к другому мономеру формулы (III).</w:t>
      </w:r>
    </w:p>
    <w:p w:rsidR="00A269F9" w:rsidRDefault="00A269F9" w:rsidP="00A269F9">
      <w:pPr>
        <w:pStyle w:val="1"/>
        <w:ind w:firstLine="140"/>
        <w:jc w:val="both"/>
        <w:rPr>
          <w:rFonts w:ascii="Times New Roman" w:hAnsi="Times New Roman"/>
        </w:rPr>
      </w:pPr>
      <w:r>
        <w:rPr>
          <w:rFonts w:ascii="Times New Roman" w:hAnsi="Times New Roman"/>
        </w:rPr>
        <w:t>6. Способ по любому из предыдущих пунктов, где концентрация добавки составляет не более 10 г/л, не более 5 г/л, не более 2,5 г/л, не более 1,5 г/л, не более 1,25 г/л или не более 1 г/л в растворе для выщелачивания.</w:t>
      </w:r>
    </w:p>
    <w:p w:rsidR="00A269F9" w:rsidRDefault="00A269F9" w:rsidP="00A269F9">
      <w:pPr>
        <w:pStyle w:val="1"/>
        <w:ind w:firstLine="140"/>
        <w:jc w:val="both"/>
        <w:rPr>
          <w:rFonts w:ascii="Times New Roman" w:hAnsi="Times New Roman"/>
        </w:rPr>
      </w:pPr>
      <w:r>
        <w:rPr>
          <w:rFonts w:ascii="Times New Roman" w:hAnsi="Times New Roman"/>
        </w:rPr>
        <w:t>7. Способ по любому из предыдущих пунктов, где выщелачивание предусматривает контроль температуры на уровне менее 100°C, менее 65°C, менее 60°C, менее 55°C или менее 50°C.</w:t>
      </w:r>
    </w:p>
    <w:p w:rsidR="00A269F9" w:rsidRDefault="00A269F9" w:rsidP="00A269F9">
      <w:pPr>
        <w:pStyle w:val="1"/>
        <w:ind w:firstLine="140"/>
        <w:jc w:val="both"/>
        <w:rPr>
          <w:rFonts w:ascii="Times New Roman" w:hAnsi="Times New Roman"/>
        </w:rPr>
      </w:pPr>
      <w:r>
        <w:rPr>
          <w:rFonts w:ascii="Times New Roman" w:hAnsi="Times New Roman"/>
        </w:rPr>
        <w:t>8. Способ по любому из предыдущих пунктов, где выщелачивание предусматривает контроль температуры щелока на уровне по меньшей мере 5°C, по меньшей мере 20°C, по меньшей мере 30°C или по меньшей мере 50°C.</w:t>
      </w:r>
    </w:p>
    <w:p w:rsidR="00A269F9" w:rsidRDefault="00A269F9" w:rsidP="00A269F9">
      <w:pPr>
        <w:pStyle w:val="1"/>
        <w:ind w:firstLine="140"/>
        <w:jc w:val="both"/>
        <w:rPr>
          <w:rFonts w:ascii="Times New Roman" w:hAnsi="Times New Roman"/>
        </w:rPr>
      </w:pPr>
      <w:r>
        <w:rPr>
          <w:rFonts w:ascii="Times New Roman" w:hAnsi="Times New Roman"/>
        </w:rPr>
        <w:t>9. Способ по любому из предыдущих пунктов, где выщелачивание предусматривает контроль окислительного потенциала раствора для выщелачивания в ходе активной фазы выщелачивания на уровне менее 900 мВ, менее 800мВ, в диапазоне от 500 до 800 мВ или в диапазоне от 600 до 750 мВ, при этом окислительный потенциал определяют относительно стандартного водородного электрода.</w:t>
      </w:r>
    </w:p>
    <w:p w:rsidR="00A269F9" w:rsidRDefault="00A269F9" w:rsidP="00A269F9">
      <w:pPr>
        <w:pStyle w:val="1"/>
        <w:ind w:firstLine="140"/>
        <w:jc w:val="both"/>
        <w:rPr>
          <w:rFonts w:ascii="Times New Roman" w:hAnsi="Times New Roman"/>
        </w:rPr>
      </w:pPr>
      <w:r>
        <w:rPr>
          <w:rFonts w:ascii="Times New Roman" w:hAnsi="Times New Roman"/>
        </w:rPr>
        <w:t>10. Способ по любому из предыдущих пунктов, где выщелачивание предусматривает контроль pH раствора для выщелачивания на уровне менее 2,5, менее 2,0, менее 1,8 или менее 1,5.</w:t>
      </w:r>
    </w:p>
    <w:p w:rsidR="00A269F9" w:rsidRDefault="00A269F9" w:rsidP="00A269F9">
      <w:pPr>
        <w:pStyle w:val="1"/>
        <w:ind w:firstLine="140"/>
        <w:jc w:val="both"/>
        <w:rPr>
          <w:rFonts w:ascii="Times New Roman" w:hAnsi="Times New Roman"/>
        </w:rPr>
      </w:pPr>
      <w:r>
        <w:rPr>
          <w:rFonts w:ascii="Times New Roman" w:hAnsi="Times New Roman"/>
        </w:rPr>
        <w:t>11. Способ по любому из предыдущих пунктов, где выщелачивание предусматривает контроль pH раствора для выщелачивания на уровне более 0,5 или более 1.</w:t>
      </w:r>
    </w:p>
    <w:p w:rsidR="00A269F9" w:rsidRDefault="00A269F9" w:rsidP="00A269F9">
      <w:pPr>
        <w:pStyle w:val="1"/>
        <w:ind w:firstLine="140"/>
        <w:jc w:val="both"/>
        <w:rPr>
          <w:rFonts w:ascii="Times New Roman" w:hAnsi="Times New Roman"/>
        </w:rPr>
      </w:pPr>
      <w:r>
        <w:rPr>
          <w:rFonts w:ascii="Times New Roman" w:hAnsi="Times New Roman"/>
        </w:rPr>
        <w:t>12. Способ по любому из предыдущих пунктов, где выщелачивание предусматривает биовыщелачивание с использованием микроорганизмов для способствования выщелачиванию меди.</w:t>
      </w:r>
    </w:p>
    <w:p w:rsidR="00A269F9" w:rsidRDefault="00A269F9" w:rsidP="00A269F9">
      <w:pPr>
        <w:pStyle w:val="1"/>
        <w:ind w:firstLine="140"/>
        <w:jc w:val="both"/>
        <w:rPr>
          <w:rFonts w:ascii="Times New Roman" w:hAnsi="Times New Roman"/>
        </w:rPr>
      </w:pPr>
      <w:r>
        <w:rPr>
          <w:rFonts w:ascii="Times New Roman" w:hAnsi="Times New Roman"/>
        </w:rPr>
        <w:t>13. Способ по любому из предыдущих пунктов, где выщелачивание предусматривает добавление в раствор для выщелачивания химических окислителей, таких как O2/SO2, пиролюзит, перманганат-ионы, ионы трехвалентного железа, пероксид-ионы и хлорат-ионы.</w:t>
      </w:r>
    </w:p>
    <w:p w:rsidR="00A269F9" w:rsidRDefault="00A269F9" w:rsidP="00A269F9">
      <w:pPr>
        <w:pStyle w:val="1"/>
        <w:ind w:firstLine="140"/>
        <w:jc w:val="both"/>
        <w:rPr>
          <w:rFonts w:ascii="Times New Roman" w:hAnsi="Times New Roman"/>
        </w:rPr>
      </w:pPr>
      <w:r>
        <w:rPr>
          <w:rFonts w:ascii="Times New Roman" w:hAnsi="Times New Roman"/>
        </w:rPr>
        <w:t>14. Способ по любому из предыдущих пунктов, включающий извлечение меди из раствора для выщелачивания на последующих стадиях извлечения меди.</w:t>
      </w:r>
    </w:p>
    <w:p w:rsidR="00A269F9" w:rsidRDefault="00A269F9" w:rsidP="00A269F9">
      <w:pPr>
        <w:pStyle w:val="1"/>
        <w:ind w:firstLine="140"/>
        <w:jc w:val="both"/>
        <w:rPr>
          <w:rFonts w:ascii="Times New Roman" w:hAnsi="Times New Roman"/>
        </w:rPr>
      </w:pPr>
      <w:r>
        <w:rPr>
          <w:rFonts w:ascii="Times New Roman" w:hAnsi="Times New Roman"/>
        </w:rPr>
        <w:t>15. Способ по любому из предыдущих пунктов, включающий добавление добавки в раствор для выщелачивания непрерывно или периодически в ходе осуществления способа с поддержанием необходимой концентрации в ходе осуществления способа.</w:t>
      </w:r>
    </w:p>
    <w:p w:rsidR="00A269F9" w:rsidRDefault="00A269F9" w:rsidP="00A269F9">
      <w:pPr>
        <w:pStyle w:val="1"/>
        <w:ind w:firstLine="140"/>
        <w:jc w:val="both"/>
        <w:rPr>
          <w:rFonts w:ascii="Times New Roman" w:hAnsi="Times New Roman"/>
        </w:rPr>
      </w:pPr>
      <w:r>
        <w:rPr>
          <w:rFonts w:ascii="Times New Roman" w:hAnsi="Times New Roman"/>
        </w:rPr>
        <w:t>16. Способ по любому из п.п.1-14, включающий добавление добавки к фрагментам руды перед осуществлением стадии выщелачивания.</w:t>
      </w:r>
    </w:p>
    <w:p w:rsidR="00A269F9" w:rsidRDefault="00A269F9" w:rsidP="00A269F9">
      <w:pPr>
        <w:pStyle w:val="1"/>
        <w:ind w:firstLine="140"/>
        <w:jc w:val="both"/>
        <w:rPr>
          <w:rFonts w:ascii="Times New Roman" w:hAnsi="Times New Roman"/>
        </w:rPr>
      </w:pPr>
      <w:r>
        <w:rPr>
          <w:rFonts w:ascii="Times New Roman" w:hAnsi="Times New Roman"/>
        </w:rPr>
        <w:t>17. Способ по п.16, включающий образование агломератов фрагментов руды и добавление добавки к агломератам перед осуществлением стадии выщелачивания.</w:t>
      </w:r>
    </w:p>
    <w:p w:rsidR="00A269F9" w:rsidRDefault="00A269F9" w:rsidP="00A269F9">
      <w:pPr>
        <w:pStyle w:val="1"/>
        <w:ind w:firstLine="140"/>
        <w:jc w:val="both"/>
        <w:rPr>
          <w:rFonts w:ascii="Times New Roman" w:hAnsi="Times New Roman"/>
        </w:rPr>
      </w:pPr>
      <w:r>
        <w:rPr>
          <w:rFonts w:ascii="Times New Roman" w:hAnsi="Times New Roman"/>
        </w:rPr>
        <w:t>18. Способ по п.16, включающий образование агломератов фрагментов руды и добавление добавки при образовании агломератов.</w:t>
      </w:r>
    </w:p>
    <w:p w:rsidR="00A269F9" w:rsidRDefault="00A269F9" w:rsidP="00A269F9">
      <w:pPr>
        <w:pStyle w:val="1"/>
        <w:ind w:firstLine="140"/>
        <w:jc w:val="both"/>
        <w:rPr>
          <w:rFonts w:ascii="Times New Roman" w:hAnsi="Times New Roman"/>
        </w:rPr>
      </w:pPr>
      <w:r>
        <w:rPr>
          <w:rFonts w:ascii="Times New Roman" w:hAnsi="Times New Roman"/>
        </w:rPr>
        <w:t>19. Способ по п.16, где добавка представляет собой полиэтиленимин (PEI) или другую полимероподобную добавку, такую как органические вещества с более длинной цепью, причем стадия агломерирования включает:</w:t>
      </w:r>
    </w:p>
    <w:p w:rsidR="00A269F9" w:rsidRDefault="00A269F9" w:rsidP="00A269F9">
      <w:pPr>
        <w:pStyle w:val="1"/>
        <w:ind w:firstLine="140"/>
        <w:jc w:val="both"/>
        <w:rPr>
          <w:rFonts w:ascii="Times New Roman" w:hAnsi="Times New Roman"/>
        </w:rPr>
      </w:pPr>
      <w:r>
        <w:rPr>
          <w:rFonts w:ascii="Times New Roman" w:hAnsi="Times New Roman"/>
        </w:rPr>
        <w:t>образование раствора PEI, характеризующегося pH более 4,5;</w:t>
      </w:r>
    </w:p>
    <w:p w:rsidR="00A269F9" w:rsidRDefault="00A269F9" w:rsidP="00A269F9">
      <w:pPr>
        <w:pStyle w:val="1"/>
        <w:ind w:firstLine="140"/>
        <w:jc w:val="both"/>
        <w:rPr>
          <w:rFonts w:ascii="Times New Roman" w:hAnsi="Times New Roman"/>
        </w:rPr>
      </w:pPr>
      <w:r>
        <w:rPr>
          <w:rFonts w:ascii="Times New Roman" w:hAnsi="Times New Roman"/>
        </w:rPr>
        <w:t>необязательно нагревание раствора до по меньшей мере 50°C с ускорением растворения/разбавления PEI и</w:t>
      </w:r>
      <w:r w:rsidRPr="002B1695">
        <w:rPr>
          <w:rFonts w:ascii="Times New Roman" w:hAnsi="Times New Roman"/>
        </w:rPr>
        <w:t xml:space="preserve"> </w:t>
      </w:r>
      <w:r>
        <w:rPr>
          <w:rFonts w:ascii="Times New Roman" w:hAnsi="Times New Roman"/>
        </w:rPr>
        <w:t>добавление раствора PEI к фрагментам руды в начале стадии агломерирования, например, перед осуществлением добавления других веществ на стадии агломерирования.</w:t>
      </w:r>
    </w:p>
    <w:p w:rsidR="00A269F9" w:rsidRDefault="00A269F9" w:rsidP="00A269F9">
      <w:pPr>
        <w:pStyle w:val="1"/>
        <w:ind w:firstLine="140"/>
        <w:jc w:val="both"/>
        <w:rPr>
          <w:rFonts w:ascii="Times New Roman" w:hAnsi="Times New Roman"/>
        </w:rPr>
      </w:pPr>
      <w:r>
        <w:rPr>
          <w:rFonts w:ascii="Times New Roman" w:hAnsi="Times New Roman"/>
        </w:rPr>
        <w:t>20. Способ по любому из предыдущих пунктов, включающий регенерирование раствора для выщелачивания и рециркулирование регенерированного раствора для выщелачивания в кучу.</w:t>
      </w:r>
    </w:p>
    <w:p w:rsidR="00A269F9" w:rsidRDefault="00A269F9" w:rsidP="00A269F9">
      <w:pPr>
        <w:pStyle w:val="1"/>
        <w:ind w:firstLine="140"/>
        <w:jc w:val="both"/>
        <w:rPr>
          <w:rFonts w:ascii="Times New Roman" w:hAnsi="Times New Roman"/>
        </w:rPr>
      </w:pPr>
      <w:r>
        <w:rPr>
          <w:rFonts w:ascii="Times New Roman" w:hAnsi="Times New Roman"/>
        </w:rPr>
        <w:t>21. Способ по п.20, включающий регулирование концентрации добавки в регенерированном растворе для выщелачивания с поддержанием концентрации на уровне не более 10 г/л, не более 5 г/л, не более 2,5 г/л, не более 1,5 г/л, не более 1,25 г/л или не более 1 г/л в растворе для выщелачивания.</w:t>
      </w:r>
    </w:p>
    <w:p w:rsidR="00A269F9" w:rsidRDefault="00A269F9" w:rsidP="00A269F9">
      <w:pPr>
        <w:pStyle w:val="1"/>
        <w:ind w:firstLine="140"/>
        <w:jc w:val="both"/>
        <w:rPr>
          <w:rFonts w:ascii="Times New Roman" w:hAnsi="Times New Roman"/>
        </w:rPr>
      </w:pPr>
      <w:r>
        <w:rPr>
          <w:rFonts w:ascii="Times New Roman" w:hAnsi="Times New Roman"/>
        </w:rPr>
        <w:t>22. Способ по п.20 или п.21, включающий добавление добавки в регенерированный раствор для выщелачивания с поддержанием концентрации на уровне не более 10 г/л, не более 5 г/л, не более 2,5 г/л, не более 1,5 г/л, не более 1,25 г/л или не более 1 г/л в растворе для выщелачивания.</w:t>
      </w:r>
    </w:p>
    <w:p w:rsidR="00A269F9" w:rsidRDefault="00A269F9" w:rsidP="00A269F9">
      <w:pPr>
        <w:pStyle w:val="1"/>
        <w:ind w:firstLine="140"/>
        <w:jc w:val="both"/>
        <w:rPr>
          <w:rFonts w:ascii="Times New Roman" w:hAnsi="Times New Roman"/>
        </w:rPr>
      </w:pPr>
      <w:r>
        <w:rPr>
          <w:rFonts w:ascii="Times New Roman" w:hAnsi="Times New Roman"/>
        </w:rPr>
        <w:t>23. Способ по п.20 или п.21, включающий удаление добавки из регенерированного раствора для выщелачивания с поддержанием концентрации на уровне не более 10 г/л, не более 5 г/л, не более 2,5 г/л, не более 1,5 г/л, не более 1,25 г/л или не более 1 г/л в растворе для выщелачивания.</w:t>
      </w:r>
    </w:p>
    <w:p w:rsidR="00A269F9" w:rsidRDefault="00A269F9" w:rsidP="00A269F9">
      <w:pPr>
        <w:pStyle w:val="1"/>
        <w:ind w:firstLine="140"/>
        <w:jc w:val="both"/>
        <w:rPr>
          <w:rFonts w:ascii="Times New Roman" w:hAnsi="Times New Roman"/>
        </w:rPr>
      </w:pPr>
      <w:r>
        <w:rPr>
          <w:rFonts w:ascii="Times New Roman" w:hAnsi="Times New Roman"/>
        </w:rPr>
        <w:t>24. Способ выщелачивания медьсодержащих руд, таких как медьсодержащие сульфидные руды, такие как сульфидные руды, которые содержат медьсодержащие минералы, такие как халькопирит и/или энаргит, или концентратов руд, или хвостов руд или концентратов, который включает выщелачивание медьсодержащих руд или концентратов или хвостов руд или концентратов с использованием раствора для выщелачивания в присутствии азотсодержащей органической комплексообразующей добавки, которая образует комплекс серы, которая содержится в медьсодержащих минералах из руд, с добавкой.</w:t>
      </w:r>
    </w:p>
    <w:p w:rsidR="00A269F9" w:rsidRDefault="00A269F9" w:rsidP="00A269F9">
      <w:pPr>
        <w:pStyle w:val="1"/>
        <w:ind w:firstLine="140"/>
        <w:jc w:val="both"/>
        <w:rPr>
          <w:rFonts w:ascii="Times New Roman" w:hAnsi="Times New Roman"/>
        </w:rPr>
      </w:pPr>
      <w:r>
        <w:rPr>
          <w:rFonts w:ascii="Times New Roman" w:hAnsi="Times New Roman"/>
        </w:rPr>
        <w:t xml:space="preserve">25. Способ по п.24, где комплекс содержит серу в пассивирующем слое на медьсодержащих минералах и добавку, при этом комплекс обеспечивает разрушение пассивирующего слоя или подавляет образование слоя </w:t>
      </w:r>
      <w:r>
        <w:rPr>
          <w:rFonts w:ascii="Times New Roman" w:hAnsi="Times New Roman"/>
        </w:rPr>
        <w:lastRenderedPageBreak/>
        <w:t>и, следовательно, обеспечивает больший доступ для выщелачивания меди из медьсодержащих минералов в ходе осуществления способа.</w:t>
      </w:r>
    </w:p>
    <w:p w:rsidR="00A269F9" w:rsidRDefault="00A269F9" w:rsidP="00A269F9">
      <w:pPr>
        <w:pStyle w:val="1"/>
        <w:ind w:firstLine="140"/>
        <w:jc w:val="both"/>
        <w:rPr>
          <w:rFonts w:ascii="Times New Roman" w:hAnsi="Times New Roman"/>
        </w:rPr>
      </w:pPr>
      <w:r>
        <w:rPr>
          <w:rFonts w:ascii="Times New Roman" w:hAnsi="Times New Roman"/>
        </w:rPr>
        <w:t>26. Способ по п.24 или п.25, где добавка представляет собой продукт разложения, который образуется в условиях выщелачивания и является эффективной добавкой в соответствии с настоящим изобретением.</w:t>
      </w:r>
    </w:p>
    <w:p w:rsidR="00A269F9" w:rsidRDefault="00A269F9" w:rsidP="00A269F9">
      <w:pPr>
        <w:pStyle w:val="1"/>
        <w:ind w:firstLine="140"/>
        <w:jc w:val="both"/>
        <w:rPr>
          <w:rFonts w:ascii="Times New Roman" w:hAnsi="Times New Roman"/>
        </w:rPr>
      </w:pPr>
      <w:r>
        <w:rPr>
          <w:rFonts w:ascii="Times New Roman" w:hAnsi="Times New Roman"/>
        </w:rPr>
        <w:t>27. Способ по п.26, где продукт разложения представляет собой продукт разложения другой указанной добавки.</w:t>
      </w:r>
    </w:p>
    <w:p w:rsidR="00A269F9" w:rsidRDefault="00A269F9" w:rsidP="00A269F9">
      <w:pPr>
        <w:pStyle w:val="1"/>
        <w:ind w:firstLine="140"/>
        <w:jc w:val="both"/>
        <w:rPr>
          <w:rFonts w:ascii="Times New Roman" w:hAnsi="Times New Roman"/>
        </w:rPr>
      </w:pPr>
      <w:r>
        <w:rPr>
          <w:rFonts w:ascii="Times New Roman" w:hAnsi="Times New Roman"/>
        </w:rPr>
        <w:t>28. Способ по любому из п.п.24-27, где азотсодержащий комплексообразователь содержит по меньшей мере два атома азота.</w:t>
      </w:r>
    </w:p>
    <w:p w:rsidR="00A269F9" w:rsidRDefault="00A269F9" w:rsidP="00A269F9">
      <w:pPr>
        <w:pStyle w:val="1"/>
        <w:ind w:firstLine="140"/>
        <w:jc w:val="both"/>
        <w:rPr>
          <w:rFonts w:ascii="Times New Roman" w:hAnsi="Times New Roman"/>
        </w:rPr>
      </w:pPr>
      <w:r>
        <w:rPr>
          <w:rFonts w:ascii="Times New Roman" w:hAnsi="Times New Roman"/>
        </w:rPr>
        <w:t>29. Способ по п.28, где каждый из по меньшей мере двух атомов азота в добавке представлен в виде первичной аминогруппы, вторичной аминогруппы или третичной аминогруппы.</w:t>
      </w:r>
    </w:p>
    <w:p w:rsidR="00A269F9" w:rsidRDefault="00A269F9" w:rsidP="00A269F9">
      <w:pPr>
        <w:pStyle w:val="1"/>
        <w:ind w:firstLine="140"/>
        <w:jc w:val="both"/>
        <w:rPr>
          <w:rFonts w:ascii="Times New Roman" w:hAnsi="Times New Roman"/>
        </w:rPr>
      </w:pPr>
      <w:r>
        <w:rPr>
          <w:rFonts w:ascii="Times New Roman" w:hAnsi="Times New Roman"/>
        </w:rPr>
        <w:t>30. Способ по любому из п.п.24-29, где азотсодержащий комплексообразователь содержит по меньшей мере два атома азота, разделенные двумя атомами углерода, чтобы добавка могла образовывать комплекс.</w:t>
      </w:r>
    </w:p>
    <w:p w:rsidR="00D54DA9" w:rsidRDefault="00A269F9" w:rsidP="00A269F9">
      <w:r>
        <w:t>31. Способ по любому из п.п.24-30, где добавка определена в п.4 или п.5.</w:t>
      </w:r>
      <w:bookmarkStart w:id="0" w:name="_GoBack"/>
      <w:bookmarkEnd w:id="0"/>
    </w:p>
    <w:sectPr w:rsidR="00D54DA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69F9"/>
    <w:rsid w:val="00287BAB"/>
    <w:rsid w:val="003A0F65"/>
    <w:rsid w:val="00505F48"/>
    <w:rsid w:val="00605462"/>
    <w:rsid w:val="00727DFC"/>
    <w:rsid w:val="008C10CF"/>
    <w:rsid w:val="009A6B8A"/>
    <w:rsid w:val="00A269F9"/>
    <w:rsid w:val="00C86049"/>
    <w:rsid w:val="00CC2A79"/>
    <w:rsid w:val="00D50F92"/>
    <w:rsid w:val="00EB3A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B3DE8C0-1B66-4814-9BAA-67C51659B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269F9"/>
    <w:pPr>
      <w:suppressAutoHyphens/>
      <w:overflowPunct w:val="0"/>
      <w:autoSpaceDE w:val="0"/>
      <w:spacing w:after="0" w:line="240" w:lineRule="auto"/>
      <w:textAlignment w:val="baseline"/>
    </w:pPr>
    <w:rPr>
      <w:rFonts w:ascii="Times New Roman" w:eastAsia="Times New Roman" w:hAnsi="Times New Roman" w:cs="Times New Roman"/>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Текст1"/>
    <w:basedOn w:val="a"/>
    <w:rsid w:val="00A269F9"/>
    <w:pPr>
      <w:overflowPunct/>
      <w:autoSpaceDE/>
      <w:textAlignment w:val="auto"/>
    </w:pPr>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1428</Words>
  <Characters>8142</Characters>
  <Application>Microsoft Office Word</Application>
  <DocSecurity>0</DocSecurity>
  <Lines>67</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Женысова Данагуль</dc:creator>
  <cp:keywords/>
  <dc:description/>
  <cp:lastModifiedBy>Женысова Данагуль</cp:lastModifiedBy>
  <cp:revision>1</cp:revision>
  <dcterms:created xsi:type="dcterms:W3CDTF">2022-06-15T06:46:00Z</dcterms:created>
  <dcterms:modified xsi:type="dcterms:W3CDTF">2022-06-15T06:46:00Z</dcterms:modified>
</cp:coreProperties>
</file>