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245D" w:rsidRDefault="001A245D" w:rsidP="001A245D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1A245D" w:rsidRDefault="001A245D" w:rsidP="001A245D">
      <w:pPr>
        <w:suppressLineNumbers/>
        <w:jc w:val="center"/>
        <w:rPr>
          <w:b/>
          <w:i/>
        </w:rPr>
      </w:pPr>
    </w:p>
    <w:p w:rsidR="001A245D" w:rsidRDefault="001A245D" w:rsidP="001A245D">
      <w:pPr>
        <w:pStyle w:val="1"/>
        <w:ind w:firstLine="140"/>
        <w:jc w:val="both"/>
      </w:pPr>
      <w:r>
        <w:rPr>
          <w:rFonts w:ascii="Times New Roman" w:hAnsi="Times New Roman"/>
        </w:rPr>
        <w:t xml:space="preserve">Ключ-адаптер сталеполимерного анкера для установки анкерной крепи, имеющий внутреннюю полость с конической поверхностью и выступы треугольной формы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адаптер выполнен единым корпусом из двух полых составных частей: левой – с внутренней левой навивкой резьбы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</w:rPr>
        <w:t>с внутренней резьбой с конусным седлом на конце и правой – с безрез</w:t>
      </w:r>
      <w:r>
        <w:rPr>
          <w:rFonts w:ascii="Times New Roman" w:hAnsi="Times New Roman"/>
          <w:lang w:val="kk-KZ"/>
        </w:rPr>
        <w:t>ь</w:t>
      </w:r>
      <w:r>
        <w:rPr>
          <w:rFonts w:ascii="Times New Roman" w:hAnsi="Times New Roman"/>
        </w:rPr>
        <w:t>бовой поверхностью, оснащенную в начальной части седлом под шестигранник.</w:t>
      </w:r>
    </w:p>
    <w:p w:rsidR="00D54DA9" w:rsidRDefault="001A245D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245D"/>
    <w:rsid w:val="001A245D"/>
    <w:rsid w:val="003A0F65"/>
    <w:rsid w:val="00605462"/>
    <w:rsid w:val="00727DFC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B09EC0-1A68-4BCF-9BE5-37FEB61896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245D"/>
    <w:pPr>
      <w:suppressAutoHyphens/>
      <w:overflowPunct w:val="0"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1A245D"/>
    <w:pPr>
      <w:overflowPunct/>
      <w:autoSpaceDE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5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2022-05-26T04:52:00Z</dcterms:created>
  <dcterms:modified xsi:type="dcterms:W3CDTF">2022-05-26T04:53:00Z</dcterms:modified>
</cp:coreProperties>
</file>