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12A8" w:rsidRDefault="00BB12A8" w:rsidP="00BB12A8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BB12A8" w:rsidRDefault="00BB12A8" w:rsidP="00BB12A8">
      <w:pPr>
        <w:suppressLineNumbers/>
        <w:jc w:val="center"/>
        <w:rPr>
          <w:b/>
          <w:i/>
        </w:rPr>
      </w:pP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Способ </w:t>
      </w:r>
      <w:proofErr w:type="spellStart"/>
      <w:r>
        <w:rPr>
          <w:rFonts w:ascii="Times New Roman" w:hAnsi="Times New Roman"/>
        </w:rPr>
        <w:t>гидроразрыва</w:t>
      </w:r>
      <w:proofErr w:type="spellEnd"/>
      <w:r>
        <w:rPr>
          <w:rFonts w:ascii="Times New Roman" w:hAnsi="Times New Roman"/>
        </w:rPr>
        <w:t xml:space="preserve"> или стимулирования </w:t>
      </w:r>
      <w:proofErr w:type="spellStart"/>
      <w:r>
        <w:rPr>
          <w:rFonts w:ascii="Times New Roman" w:hAnsi="Times New Roman"/>
        </w:rPr>
        <w:t>углеводородоносного</w:t>
      </w:r>
      <w:proofErr w:type="spellEnd"/>
      <w:r>
        <w:rPr>
          <w:rFonts w:ascii="Times New Roman" w:hAnsi="Times New Roman"/>
        </w:rPr>
        <w:t xml:space="preserve"> пласта, включающий следующие этапы: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обеспечение ствола скважины, для которого необходимо стимулирование;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введение пробки в ствол скважины в заданном месте;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одновременное введение в ствол скважины перфорирующего инструмента и промывочной кислоты или кислоты для </w:t>
      </w:r>
      <w:proofErr w:type="spellStart"/>
      <w:r>
        <w:rPr>
          <w:rFonts w:ascii="Times New Roman" w:hAnsi="Times New Roman"/>
        </w:rPr>
        <w:t>гидроразрыва</w:t>
      </w:r>
      <w:proofErr w:type="spellEnd"/>
      <w:r>
        <w:rPr>
          <w:rFonts w:ascii="Times New Roman" w:hAnsi="Times New Roman"/>
        </w:rPr>
        <w:t>, содержащей композицию для ингибирования коррозии, предотвращающую коррозионное повреждение инструмента, троса и обсадной трубы в течение периода воздействия указанной кислотой;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расположение инструмента в упомянутом заданном месте;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перфорирование ствола скважины инструментом, создавая таким образом перфорированную область;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обеспечение промывочной кислоте возможности находиться в контакте с перфорированной областью в течение заданного периода времени, достаточного для подготовки пласта к </w:t>
      </w:r>
      <w:proofErr w:type="spellStart"/>
      <w:r>
        <w:rPr>
          <w:rFonts w:ascii="Times New Roman" w:hAnsi="Times New Roman"/>
        </w:rPr>
        <w:t>гидроразрыву</w:t>
      </w:r>
      <w:proofErr w:type="spellEnd"/>
      <w:r>
        <w:rPr>
          <w:rFonts w:ascii="Times New Roman" w:hAnsi="Times New Roman"/>
        </w:rPr>
        <w:t xml:space="preserve"> или стимулированию;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удаление инструмента из ствола скважины; и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инициирование </w:t>
      </w:r>
      <w:proofErr w:type="spellStart"/>
      <w:r>
        <w:rPr>
          <w:rFonts w:ascii="Times New Roman" w:hAnsi="Times New Roman"/>
        </w:rPr>
        <w:t>гидроразрыва</w:t>
      </w:r>
      <w:proofErr w:type="spellEnd"/>
      <w:r>
        <w:rPr>
          <w:rFonts w:ascii="Times New Roman" w:hAnsi="Times New Roman"/>
        </w:rPr>
        <w:t xml:space="preserve"> или стимулирования перфорированной области с помощью стимулирующей текучей среды.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Способ по п.1, в котором инструмент представляет собой пулевой перфоратор.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Способ по любому из п.1 или 2, в котором промывочная кислота выбрана из группы, состоящей из минеральных кислот, органических кислот, модифицированных кислот, синтетических кислот и их сочетаний.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Способ по любому из п.п.1–3, в котором промывочная кислота дополнительно содержит ингибитор коррозии.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Способ по любому из п.п.1–4, в котором промывочная кислота выбрана из группы, состоящей из </w:t>
      </w:r>
      <w:proofErr w:type="spellStart"/>
      <w:r>
        <w:rPr>
          <w:rFonts w:ascii="Times New Roman" w:hAnsi="Times New Roman"/>
        </w:rPr>
        <w:t>HCl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метансульфоновой</w:t>
      </w:r>
      <w:proofErr w:type="spellEnd"/>
      <w:r>
        <w:rPr>
          <w:rFonts w:ascii="Times New Roman" w:hAnsi="Times New Roman"/>
        </w:rPr>
        <w:t xml:space="preserve"> кислоты, </w:t>
      </w:r>
      <w:proofErr w:type="spellStart"/>
      <w:r>
        <w:rPr>
          <w:rFonts w:ascii="Times New Roman" w:hAnsi="Times New Roman"/>
        </w:rPr>
        <w:t>толуолсульфоновой</w:t>
      </w:r>
      <w:proofErr w:type="spellEnd"/>
      <w:r>
        <w:rPr>
          <w:rFonts w:ascii="Times New Roman" w:hAnsi="Times New Roman"/>
        </w:rPr>
        <w:t xml:space="preserve"> кислоты, сульфаминовой кислоты, смеси </w:t>
      </w:r>
      <w:proofErr w:type="spellStart"/>
      <w:r>
        <w:rPr>
          <w:rFonts w:ascii="Times New Roman" w:hAnsi="Times New Roman"/>
        </w:rPr>
        <w:t>HCl</w:t>
      </w:r>
      <w:proofErr w:type="spellEnd"/>
      <w:r>
        <w:rPr>
          <w:rFonts w:ascii="Times New Roman" w:hAnsi="Times New Roman"/>
        </w:rPr>
        <w:t xml:space="preserve">: аминокислота, смеси </w:t>
      </w:r>
      <w:proofErr w:type="spellStart"/>
      <w:r>
        <w:rPr>
          <w:rFonts w:ascii="Times New Roman" w:hAnsi="Times New Roman"/>
        </w:rPr>
        <w:t>HCl</w:t>
      </w:r>
      <w:proofErr w:type="spellEnd"/>
      <w:r>
        <w:rPr>
          <w:rFonts w:ascii="Times New Roman" w:hAnsi="Times New Roman"/>
        </w:rPr>
        <w:t xml:space="preserve">: </w:t>
      </w:r>
      <w:proofErr w:type="spellStart"/>
      <w:r>
        <w:rPr>
          <w:rFonts w:ascii="Times New Roman" w:hAnsi="Times New Roman"/>
        </w:rPr>
        <w:t>алканоламин</w:t>
      </w:r>
      <w:proofErr w:type="spellEnd"/>
      <w:r>
        <w:rPr>
          <w:rFonts w:ascii="Times New Roman" w:hAnsi="Times New Roman"/>
        </w:rPr>
        <w:t>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Способ по п.5, в котором аминокислота выбрана из группы, состоящей из лизина, </w:t>
      </w:r>
      <w:proofErr w:type="spellStart"/>
      <w:r>
        <w:rPr>
          <w:rFonts w:ascii="Times New Roman" w:hAnsi="Times New Roman"/>
        </w:rPr>
        <w:t>моногидрохлорида</w:t>
      </w:r>
      <w:proofErr w:type="spellEnd"/>
      <w:r>
        <w:rPr>
          <w:rFonts w:ascii="Times New Roman" w:hAnsi="Times New Roman"/>
        </w:rPr>
        <w:t xml:space="preserve"> лизина, </w:t>
      </w:r>
      <w:proofErr w:type="spellStart"/>
      <w:r>
        <w:rPr>
          <w:rFonts w:ascii="Times New Roman" w:hAnsi="Times New Roman"/>
        </w:rPr>
        <w:t>аланина</w:t>
      </w:r>
      <w:proofErr w:type="spellEnd"/>
      <w:r>
        <w:rPr>
          <w:rFonts w:ascii="Times New Roman" w:hAnsi="Times New Roman"/>
        </w:rPr>
        <w:t xml:space="preserve">, аспарагина, аспарагиновой кислоты, цистеина, </w:t>
      </w:r>
      <w:proofErr w:type="spellStart"/>
      <w:r>
        <w:rPr>
          <w:rFonts w:ascii="Times New Roman" w:hAnsi="Times New Roman"/>
        </w:rPr>
        <w:t>глутаминовой</w:t>
      </w:r>
      <w:proofErr w:type="spellEnd"/>
      <w:r>
        <w:rPr>
          <w:rFonts w:ascii="Times New Roman" w:hAnsi="Times New Roman"/>
        </w:rPr>
        <w:t xml:space="preserve"> кислоты, гистидина, лейцина, метионина, </w:t>
      </w:r>
      <w:proofErr w:type="spellStart"/>
      <w:r>
        <w:rPr>
          <w:rFonts w:ascii="Times New Roman" w:hAnsi="Times New Roman"/>
        </w:rPr>
        <w:t>пролина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серина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треонина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валина</w:t>
      </w:r>
      <w:proofErr w:type="spellEnd"/>
      <w:r>
        <w:rPr>
          <w:rFonts w:ascii="Times New Roman" w:hAnsi="Times New Roman"/>
        </w:rPr>
        <w:t xml:space="preserve"> и их сочетаний.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Способ по п.5, в котором </w:t>
      </w:r>
      <w:proofErr w:type="spellStart"/>
      <w:r>
        <w:rPr>
          <w:rFonts w:ascii="Times New Roman" w:hAnsi="Times New Roman"/>
        </w:rPr>
        <w:t>алканоламин</w:t>
      </w:r>
      <w:proofErr w:type="spellEnd"/>
      <w:r>
        <w:rPr>
          <w:rFonts w:ascii="Times New Roman" w:hAnsi="Times New Roman"/>
        </w:rPr>
        <w:t xml:space="preserve"> выбран из группы, состоящей из </w:t>
      </w:r>
      <w:proofErr w:type="spellStart"/>
      <w:r>
        <w:rPr>
          <w:rFonts w:ascii="Times New Roman" w:hAnsi="Times New Roman"/>
        </w:rPr>
        <w:t>моноэтаноламина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диэтаноламина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триэтаноламина</w:t>
      </w:r>
      <w:proofErr w:type="spellEnd"/>
      <w:r>
        <w:rPr>
          <w:rFonts w:ascii="Times New Roman" w:hAnsi="Times New Roman"/>
        </w:rPr>
        <w:t xml:space="preserve"> и их сочетаний.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 Композиция для ингибирования коррозии, содержащая: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</w:t>
      </w:r>
      <w:proofErr w:type="spellStart"/>
      <w:r>
        <w:rPr>
          <w:rFonts w:ascii="Times New Roman" w:hAnsi="Times New Roman"/>
        </w:rPr>
        <w:t>алкиновый</w:t>
      </w:r>
      <w:proofErr w:type="spellEnd"/>
      <w:r>
        <w:rPr>
          <w:rFonts w:ascii="Times New Roman" w:hAnsi="Times New Roman"/>
        </w:rPr>
        <w:t xml:space="preserve"> спирт;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терпен, выбранный из группы, состоящей из </w:t>
      </w:r>
      <w:proofErr w:type="spellStart"/>
      <w:r>
        <w:rPr>
          <w:rFonts w:ascii="Times New Roman" w:hAnsi="Times New Roman"/>
        </w:rPr>
        <w:t>цитраля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карвона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ионона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оцимена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цимола</w:t>
      </w:r>
      <w:proofErr w:type="spellEnd"/>
      <w:r>
        <w:rPr>
          <w:rFonts w:ascii="Times New Roman" w:hAnsi="Times New Roman"/>
        </w:rPr>
        <w:t xml:space="preserve"> и их сочетаний;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амфотерное поверхностно-активное вещество, выбранное из группы, состоящей из бетаина и </w:t>
      </w:r>
      <w:proofErr w:type="spellStart"/>
      <w:r>
        <w:rPr>
          <w:rFonts w:ascii="Times New Roman" w:hAnsi="Times New Roman"/>
        </w:rPr>
        <w:t>сультаина</w:t>
      </w:r>
      <w:proofErr w:type="spellEnd"/>
      <w:r>
        <w:rPr>
          <w:rFonts w:ascii="Times New Roman" w:hAnsi="Times New Roman"/>
        </w:rPr>
        <w:t>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коричный альдегид или его производное и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растворитель.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9. Композиция по п.8, которая дополнительно содержит по меньшей мере одно анионное поверхностно-активное вещество.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10. Композиция по п.8 или 9, в которой </w:t>
      </w:r>
      <w:proofErr w:type="spellStart"/>
      <w:r>
        <w:rPr>
          <w:rFonts w:ascii="Times New Roman" w:hAnsi="Times New Roman"/>
        </w:rPr>
        <w:t>алкиновый</w:t>
      </w:r>
      <w:proofErr w:type="spellEnd"/>
      <w:r>
        <w:rPr>
          <w:rFonts w:ascii="Times New Roman" w:hAnsi="Times New Roman"/>
        </w:rPr>
        <w:t xml:space="preserve"> спирт является </w:t>
      </w:r>
      <w:proofErr w:type="spellStart"/>
      <w:r>
        <w:rPr>
          <w:rFonts w:ascii="Times New Roman" w:hAnsi="Times New Roman"/>
        </w:rPr>
        <w:t>пропаргиловым</w:t>
      </w:r>
      <w:proofErr w:type="spellEnd"/>
      <w:r>
        <w:rPr>
          <w:rFonts w:ascii="Times New Roman" w:hAnsi="Times New Roman"/>
        </w:rPr>
        <w:t xml:space="preserve"> спиртом.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11. Композиция по любому из п.п.8–10, в которой растворителем является </w:t>
      </w:r>
      <w:proofErr w:type="spellStart"/>
      <w:r>
        <w:rPr>
          <w:rFonts w:ascii="Times New Roman" w:hAnsi="Times New Roman"/>
        </w:rPr>
        <w:t>изопропанол</w:t>
      </w:r>
      <w:proofErr w:type="spellEnd"/>
      <w:r>
        <w:rPr>
          <w:rFonts w:ascii="Times New Roman" w:hAnsi="Times New Roman"/>
        </w:rPr>
        <w:t>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12. Композиция по любому из </w:t>
      </w:r>
      <w:proofErr w:type="spellStart"/>
      <w:r>
        <w:rPr>
          <w:rFonts w:ascii="Times New Roman" w:hAnsi="Times New Roman"/>
        </w:rPr>
        <w:t>п.п</w:t>
      </w:r>
      <w:proofErr w:type="spellEnd"/>
      <w:r>
        <w:rPr>
          <w:rFonts w:ascii="Times New Roman" w:hAnsi="Times New Roman"/>
        </w:rPr>
        <w:t xml:space="preserve">. 8–11, в которой терпеном является </w:t>
      </w:r>
      <w:proofErr w:type="spellStart"/>
      <w:r>
        <w:rPr>
          <w:rFonts w:ascii="Times New Roman" w:hAnsi="Times New Roman"/>
        </w:rPr>
        <w:t>цитраль</w:t>
      </w:r>
      <w:proofErr w:type="spellEnd"/>
      <w:r>
        <w:rPr>
          <w:rFonts w:ascii="Times New Roman" w:hAnsi="Times New Roman"/>
        </w:rPr>
        <w:t xml:space="preserve">.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13. Композиция по любому из п.п.8-12, в которой </w:t>
      </w:r>
      <w:proofErr w:type="spellStart"/>
      <w:r>
        <w:rPr>
          <w:rFonts w:ascii="Times New Roman" w:hAnsi="Times New Roman"/>
        </w:rPr>
        <w:t>алкиновый</w:t>
      </w:r>
      <w:proofErr w:type="spellEnd"/>
      <w:r>
        <w:rPr>
          <w:rFonts w:ascii="Times New Roman" w:hAnsi="Times New Roman"/>
        </w:rPr>
        <w:t xml:space="preserve"> спирт присутствует в количестве, находящемся в диапазоне 10–40% </w:t>
      </w:r>
      <w:proofErr w:type="gramStart"/>
      <w:r>
        <w:rPr>
          <w:rFonts w:ascii="Times New Roman" w:hAnsi="Times New Roman"/>
        </w:rPr>
        <w:t>об./</w:t>
      </w:r>
      <w:proofErr w:type="gramEnd"/>
      <w:r>
        <w:rPr>
          <w:rFonts w:ascii="Times New Roman" w:hAnsi="Times New Roman"/>
        </w:rPr>
        <w:t>об. композиции.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14. Композиция по любому из п.п.8-13, в которой </w:t>
      </w:r>
      <w:proofErr w:type="spellStart"/>
      <w:r>
        <w:rPr>
          <w:rFonts w:ascii="Times New Roman" w:hAnsi="Times New Roman"/>
        </w:rPr>
        <w:t>цитраль</w:t>
      </w:r>
      <w:proofErr w:type="spellEnd"/>
      <w:r>
        <w:rPr>
          <w:rFonts w:ascii="Times New Roman" w:hAnsi="Times New Roman"/>
        </w:rPr>
        <w:t xml:space="preserve"> присутствует в количестве, находящемся в диапазоне 5–15% </w:t>
      </w:r>
      <w:proofErr w:type="gramStart"/>
      <w:r>
        <w:rPr>
          <w:rFonts w:ascii="Times New Roman" w:hAnsi="Times New Roman"/>
        </w:rPr>
        <w:t>об./</w:t>
      </w:r>
      <w:proofErr w:type="gramEnd"/>
      <w:r>
        <w:rPr>
          <w:rFonts w:ascii="Times New Roman" w:hAnsi="Times New Roman"/>
        </w:rPr>
        <w:t>об. композиции.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15. Композиция по любому из п.п.8-14, в которой коричный альдегид или его производное присутствует в количестве, находящемся в диапазоне 7,5–20% </w:t>
      </w:r>
      <w:proofErr w:type="gramStart"/>
      <w:r>
        <w:rPr>
          <w:rFonts w:ascii="Times New Roman" w:hAnsi="Times New Roman"/>
        </w:rPr>
        <w:t>об./</w:t>
      </w:r>
      <w:proofErr w:type="gramEnd"/>
      <w:r>
        <w:rPr>
          <w:rFonts w:ascii="Times New Roman" w:hAnsi="Times New Roman"/>
        </w:rPr>
        <w:t>об. композиции.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16. Композиция по любому из п.п.8-15, в которой растворитель присутствует в количестве, находящемся в диапазоне 10–40% </w:t>
      </w:r>
      <w:proofErr w:type="gramStart"/>
      <w:r>
        <w:rPr>
          <w:rFonts w:ascii="Times New Roman" w:hAnsi="Times New Roman"/>
        </w:rPr>
        <w:t>об./</w:t>
      </w:r>
      <w:proofErr w:type="gramEnd"/>
      <w:r>
        <w:rPr>
          <w:rFonts w:ascii="Times New Roman" w:hAnsi="Times New Roman"/>
        </w:rPr>
        <w:t xml:space="preserve">об. композиции.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17. Композиция по любому из п</w:t>
      </w:r>
      <w:r w:rsidRPr="002B728B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п.8-16, в которой амфотерное поверхностно-активное вещество присутствует в количестве, находящемся в диапазоне 10–40 % </w:t>
      </w:r>
      <w:proofErr w:type="gramStart"/>
      <w:r>
        <w:rPr>
          <w:rFonts w:ascii="Times New Roman" w:hAnsi="Times New Roman"/>
        </w:rPr>
        <w:t>об./</w:t>
      </w:r>
      <w:proofErr w:type="gramEnd"/>
      <w:r>
        <w:rPr>
          <w:rFonts w:ascii="Times New Roman" w:hAnsi="Times New Roman"/>
        </w:rPr>
        <w:t>об. композиции.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18. Композиция по любому из п</w:t>
      </w:r>
      <w:r w:rsidRPr="002B728B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п.9-17, в которой анионное поверхностно-активное вещество присутствует в количестве, находящемся в диапазоне 10–40 % </w:t>
      </w:r>
      <w:proofErr w:type="gramStart"/>
      <w:r>
        <w:rPr>
          <w:rFonts w:ascii="Times New Roman" w:hAnsi="Times New Roman"/>
        </w:rPr>
        <w:t>об./</w:t>
      </w:r>
      <w:proofErr w:type="gramEnd"/>
      <w:r>
        <w:rPr>
          <w:rFonts w:ascii="Times New Roman" w:hAnsi="Times New Roman"/>
        </w:rPr>
        <w:t xml:space="preserve">об. композиции.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19. Композиция по любому из п</w:t>
      </w:r>
      <w:r w:rsidRPr="000B7A32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п.8-18, в которой амфотерное поверхностно-активное вещество содержит бетаин или </w:t>
      </w:r>
      <w:proofErr w:type="spellStart"/>
      <w:r>
        <w:rPr>
          <w:rFonts w:ascii="Times New Roman" w:hAnsi="Times New Roman"/>
        </w:rPr>
        <w:t>сультаин</w:t>
      </w:r>
      <w:proofErr w:type="spellEnd"/>
      <w:r>
        <w:rPr>
          <w:rFonts w:ascii="Times New Roman" w:hAnsi="Times New Roman"/>
        </w:rPr>
        <w:t>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20. Композиция по любому из п</w:t>
      </w:r>
      <w:r w:rsidRPr="000B7A32">
        <w:rPr>
          <w:rFonts w:ascii="Times New Roman" w:hAnsi="Times New Roman"/>
        </w:rPr>
        <w:t>.</w:t>
      </w:r>
      <w:r>
        <w:rPr>
          <w:rFonts w:ascii="Times New Roman" w:hAnsi="Times New Roman"/>
        </w:rPr>
        <w:t>п.9-18, в которой анионное поверхностно-активное вещество содержит бетаин и β-</w:t>
      </w:r>
      <w:proofErr w:type="spellStart"/>
      <w:r>
        <w:rPr>
          <w:rFonts w:ascii="Times New Roman" w:hAnsi="Times New Roman"/>
        </w:rPr>
        <w:t>аланин</w:t>
      </w:r>
      <w:proofErr w:type="spellEnd"/>
      <w:r>
        <w:rPr>
          <w:rFonts w:ascii="Times New Roman" w:hAnsi="Times New Roman"/>
        </w:rPr>
        <w:t>, N-(2-карбоксиэтил)-N-</w:t>
      </w:r>
      <w:proofErr w:type="spellStart"/>
      <w:r>
        <w:rPr>
          <w:rFonts w:ascii="Times New Roman" w:hAnsi="Times New Roman"/>
        </w:rPr>
        <w:t>додецил</w:t>
      </w:r>
      <w:proofErr w:type="spellEnd"/>
      <w:r>
        <w:rPr>
          <w:rFonts w:ascii="Times New Roman" w:hAnsi="Times New Roman"/>
        </w:rPr>
        <w:t>-, натриевую соль (</w:t>
      </w:r>
      <w:proofErr w:type="gramStart"/>
      <w:r>
        <w:rPr>
          <w:rFonts w:ascii="Times New Roman" w:hAnsi="Times New Roman"/>
        </w:rPr>
        <w:t>1 :</w:t>
      </w:r>
      <w:proofErr w:type="gramEnd"/>
      <w:r>
        <w:rPr>
          <w:rFonts w:ascii="Times New Roman" w:hAnsi="Times New Roman"/>
        </w:rPr>
        <w:t xml:space="preserve"> 1).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21. Композиция по любому из п</w:t>
      </w:r>
      <w:r>
        <w:rPr>
          <w:rFonts w:ascii="Times New Roman" w:hAnsi="Times New Roman"/>
          <w:lang w:val="kk-KZ"/>
        </w:rPr>
        <w:t>.</w:t>
      </w:r>
      <w:r>
        <w:rPr>
          <w:rFonts w:ascii="Times New Roman" w:hAnsi="Times New Roman"/>
        </w:rPr>
        <w:t xml:space="preserve">п. 8-20, которая дополнительно содержит иодид или </w:t>
      </w:r>
      <w:proofErr w:type="spellStart"/>
      <w:r>
        <w:rPr>
          <w:rFonts w:ascii="Times New Roman" w:hAnsi="Times New Roman"/>
        </w:rPr>
        <w:t>иодат</w:t>
      </w:r>
      <w:proofErr w:type="spellEnd"/>
      <w:r>
        <w:rPr>
          <w:rFonts w:ascii="Times New Roman" w:hAnsi="Times New Roman"/>
        </w:rPr>
        <w:t xml:space="preserve"> металла, выбранный из группы, состоящей из иодида меди, иодида калия и иодида натрия.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22. Композиция по п.21, в которой иодидом или </w:t>
      </w:r>
      <w:proofErr w:type="spellStart"/>
      <w:r>
        <w:rPr>
          <w:rFonts w:ascii="Times New Roman" w:hAnsi="Times New Roman"/>
        </w:rPr>
        <w:t>иодатом</w:t>
      </w:r>
      <w:proofErr w:type="spellEnd"/>
      <w:r>
        <w:rPr>
          <w:rFonts w:ascii="Times New Roman" w:hAnsi="Times New Roman"/>
        </w:rPr>
        <w:t xml:space="preserve"> металла является иодид калия.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23. Композиция по п.21, в которой иодидом или </w:t>
      </w:r>
      <w:proofErr w:type="spellStart"/>
      <w:r>
        <w:rPr>
          <w:rFonts w:ascii="Times New Roman" w:hAnsi="Times New Roman"/>
        </w:rPr>
        <w:t>иодатом</w:t>
      </w:r>
      <w:proofErr w:type="spellEnd"/>
      <w:r>
        <w:rPr>
          <w:rFonts w:ascii="Times New Roman" w:hAnsi="Times New Roman"/>
        </w:rPr>
        <w:t xml:space="preserve"> металла является иодид натрия.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24. Композиция по п.21, в которой иодидом или </w:t>
      </w:r>
      <w:proofErr w:type="spellStart"/>
      <w:r>
        <w:rPr>
          <w:rFonts w:ascii="Times New Roman" w:hAnsi="Times New Roman"/>
        </w:rPr>
        <w:t>иодатом</w:t>
      </w:r>
      <w:proofErr w:type="spellEnd"/>
      <w:r>
        <w:rPr>
          <w:rFonts w:ascii="Times New Roman" w:hAnsi="Times New Roman"/>
        </w:rPr>
        <w:t xml:space="preserve"> металла является иодид меди.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25. Способ установки кислотной ванны в стволе скважины, включающий следующие этапы: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обеспечение ствола скважины, для которого необходимо стимулирование;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введение пробки в ствол скважины в заданном месте;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одновременное введение в ствол скважины перфорирующего инструмента и промывочной кислотной композиции или кислотной композиции для </w:t>
      </w:r>
      <w:proofErr w:type="spellStart"/>
      <w:r>
        <w:rPr>
          <w:rFonts w:ascii="Times New Roman" w:hAnsi="Times New Roman"/>
        </w:rPr>
        <w:t>гидроразрыва</w:t>
      </w:r>
      <w:proofErr w:type="spellEnd"/>
      <w:r>
        <w:rPr>
          <w:rFonts w:ascii="Times New Roman" w:hAnsi="Times New Roman"/>
        </w:rPr>
        <w:t>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расположение инструмента в упомянутом заданном месте;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перфорирование ствола скважины инструментом, создавая таким образом перфорированную область; и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обеспечение промывочной кислотной композиции возможности находиться в контакте с перфорированной областью в течение заданного периода времени, достаточного для подготовки пласта к </w:t>
      </w:r>
      <w:proofErr w:type="spellStart"/>
      <w:r>
        <w:rPr>
          <w:rFonts w:ascii="Times New Roman" w:hAnsi="Times New Roman"/>
        </w:rPr>
        <w:t>гидроразрыву</w:t>
      </w:r>
      <w:proofErr w:type="spellEnd"/>
      <w:r>
        <w:rPr>
          <w:rFonts w:ascii="Times New Roman" w:hAnsi="Times New Roman"/>
        </w:rPr>
        <w:t xml:space="preserve"> или стимулированию;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 этом кислотная композиция содержит кислоту и ингибитор коррозии и является достаточно сбалансированной для выполнения операции растворения </w:t>
      </w:r>
      <w:proofErr w:type="spellStart"/>
      <w:r>
        <w:rPr>
          <w:rFonts w:ascii="Times New Roman" w:hAnsi="Times New Roman"/>
        </w:rPr>
        <w:t>кислоторастворимого</w:t>
      </w:r>
      <w:proofErr w:type="spellEnd"/>
      <w:r>
        <w:rPr>
          <w:rFonts w:ascii="Times New Roman" w:hAnsi="Times New Roman"/>
        </w:rPr>
        <w:t xml:space="preserve"> обломочного материала в пределах периода времени, в течение которого инструмент будет оставаться с приемлемым (в некоторых случаях минимальным) коррозионным повреждением от воздействия кислотной композиции.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26. Совмещенный способ перфорирования обсадной трубы и очистки от обломочного материала внутри ствола скважины, включающий следующие этапы: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обеспечение ствола скважины, имеющего обсадную трубу;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одновременное введение в ствол скважины пробки, перфорирующего инструмента и промывочной кислотной композицией или кислотной композиции для </w:t>
      </w:r>
      <w:proofErr w:type="spellStart"/>
      <w:r>
        <w:rPr>
          <w:rFonts w:ascii="Times New Roman" w:hAnsi="Times New Roman"/>
        </w:rPr>
        <w:t>гидроразрыва</w:t>
      </w:r>
      <w:proofErr w:type="spellEnd"/>
      <w:r>
        <w:rPr>
          <w:rFonts w:ascii="Times New Roman" w:hAnsi="Times New Roman"/>
        </w:rPr>
        <w:t>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закрепление или установку пробки в стволе скважины в заданном месте;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размещение перфорирующего инструмента в упомянутом заданном месте;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перфорирование ствола скважины инструментом, создавая таким образом перфорированную область на обсадной трубе;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обеспечение промывочной кислоте возможности находиться в контакте с перфорированной областью в течение заданного периода времени, достаточного для подготовки пласта к </w:t>
      </w:r>
      <w:proofErr w:type="spellStart"/>
      <w:r>
        <w:rPr>
          <w:rFonts w:ascii="Times New Roman" w:hAnsi="Times New Roman"/>
        </w:rPr>
        <w:t>гидроразрыву</w:t>
      </w:r>
      <w:proofErr w:type="spellEnd"/>
      <w:r>
        <w:rPr>
          <w:rFonts w:ascii="Times New Roman" w:hAnsi="Times New Roman"/>
        </w:rPr>
        <w:t xml:space="preserve"> или стимулированию; и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удаление инструмента из ствола скважины;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 этом кислотная композиция содержит кислоту и ингибитор коррозии и является достаточно сбалансированной для выполнения операции растворения </w:t>
      </w:r>
      <w:proofErr w:type="spellStart"/>
      <w:r>
        <w:rPr>
          <w:rFonts w:ascii="Times New Roman" w:hAnsi="Times New Roman"/>
        </w:rPr>
        <w:t>кислоторастворимого</w:t>
      </w:r>
      <w:proofErr w:type="spellEnd"/>
      <w:r>
        <w:rPr>
          <w:rFonts w:ascii="Times New Roman" w:hAnsi="Times New Roman"/>
        </w:rPr>
        <w:t xml:space="preserve"> обломочного материала в пределах периода времени, в течение которого инструмент будет оставаться с приемлемым (в некоторых случаях минимальным) коррозионным повреждением от воздействия кислотной композиции.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27. Способ осуществления внутрискважинной операции бурения кислотой для повышения СП (скорости проходки) сквозь цементные пробки или карбонатный пласт, включающий следующие этапы: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введение бурового инструмента внутрь ствола скважины;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введение кислотной композиции одновременно с буровым инструментом;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размещение бурового инструмента внутри ствола скважины в точке, требующей бурения;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обеспечение контакта поверхности, требующей бурения, с кислотой и начало бурения; и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продолжение операции бурения до достижения желаемого расстояния;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 этом кислотная композиция содержит ингибитор коррозии и является достаточно сбалансированной для выполнения операции растворения </w:t>
      </w:r>
      <w:proofErr w:type="spellStart"/>
      <w:r>
        <w:rPr>
          <w:rFonts w:ascii="Times New Roman" w:hAnsi="Times New Roman"/>
        </w:rPr>
        <w:t>кислоторастворимого</w:t>
      </w:r>
      <w:proofErr w:type="spellEnd"/>
      <w:r>
        <w:rPr>
          <w:rFonts w:ascii="Times New Roman" w:hAnsi="Times New Roman"/>
        </w:rPr>
        <w:t xml:space="preserve"> обломочного материала в пределах периода времени, в течение которого инструмент будет оставаться с приемлемым (в некоторых случаях минимальным) коррозионным повреждением от воздействия кислотной композиции.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28. Способ осуществления внутрискважинной операции кислотных промывок при помощи, развернутой гибкой насосно-компрессорной трубы, включающий следующие этапы: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введение гибкой насосно-компрессорной трубы внутрь ствола скважины;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введение кислотной композиции одновременно с буровым инструментом;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размещение бурового инструмента внутри ствола скважины в точке, требующей бурения;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обеспечение контакта поверхности, требующей бурения, с кислотой и начало бурения; и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- продолжение операции бурения до достижения желаемого расстояния;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 этом кислотная композиция содержит ингибитор коррозии и является достаточно сбалансированной для выполнения операции растворения </w:t>
      </w:r>
      <w:proofErr w:type="spellStart"/>
      <w:r>
        <w:rPr>
          <w:rFonts w:ascii="Times New Roman" w:hAnsi="Times New Roman"/>
        </w:rPr>
        <w:t>кислоторастворимого</w:t>
      </w:r>
      <w:proofErr w:type="spellEnd"/>
      <w:r>
        <w:rPr>
          <w:rFonts w:ascii="Times New Roman" w:hAnsi="Times New Roman"/>
        </w:rPr>
        <w:t xml:space="preserve"> обломочного материала в пределах периода времени, в течение которого инструмент будет оставаться с приемлемым (в некоторых случаях минимальным) коррозионным повреждением от воздействия кислотной композиции.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29. Способ осуществления внутрискважинной операции для очистки от фильтрационной корки или отложения солей при помощи размотанной гибкой трубы, включающий следующие этапы: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введение гибкой насосно-компрессорной трубы внутрь ствола скважины;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введение кислотной композиции одновременно с инструментом для промывки;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размещение инструмента для промывки внутри ствола скважины в точке, требующей обработки;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обеспечение контакта поверхности, требующей обработки, с кислотой и начало обработки; и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продолжение операции обработки до достижения желаемого эффекта;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 этом кислотная композиция содержит ингибитор коррозии и является достаточно сбалансированной для выполнения операции растворения </w:t>
      </w:r>
      <w:proofErr w:type="spellStart"/>
      <w:r>
        <w:rPr>
          <w:rFonts w:ascii="Times New Roman" w:hAnsi="Times New Roman"/>
        </w:rPr>
        <w:t>кислоторастворимого</w:t>
      </w:r>
      <w:proofErr w:type="spellEnd"/>
      <w:r>
        <w:rPr>
          <w:rFonts w:ascii="Times New Roman" w:hAnsi="Times New Roman"/>
        </w:rPr>
        <w:t xml:space="preserve"> обломочного материала фильтрационной корки в </w:t>
      </w:r>
      <w:r>
        <w:rPr>
          <w:rFonts w:ascii="Times New Roman" w:hAnsi="Times New Roman"/>
        </w:rPr>
        <w:lastRenderedPageBreak/>
        <w:t xml:space="preserve">пределах периода времени, в течение которого инструмент будет оставаться с приемлемым (в некоторых случаях минимальным) коррозионным повреждением от воздействия кислотной композиции.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30. Способ осуществления внутрискважинной операции для прихваченной катушки или инструментов в обсадной трубе и/или на участке открытого ствола скважины, где прихватывание обусловлено наличием </w:t>
      </w:r>
      <w:proofErr w:type="spellStart"/>
      <w:r>
        <w:rPr>
          <w:rFonts w:ascii="Times New Roman" w:hAnsi="Times New Roman"/>
        </w:rPr>
        <w:t>кислоторастворимого</w:t>
      </w:r>
      <w:proofErr w:type="spellEnd"/>
      <w:r>
        <w:rPr>
          <w:rFonts w:ascii="Times New Roman" w:hAnsi="Times New Roman"/>
        </w:rPr>
        <w:t xml:space="preserve"> обломочного материала, включающий следующие этапы: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введение кислотной композиции в ствол скважины;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закачивание или закачивание под давлением кислотной композиции в точку внутри ствола скважины, где прихвачена указанная катушка;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обеспечение кислотной композиции достаточного времени контакта в указанной обрушенной области и вблизи нее для создания возможности растворения </w:t>
      </w:r>
      <w:proofErr w:type="spellStart"/>
      <w:r>
        <w:rPr>
          <w:rFonts w:ascii="Times New Roman" w:hAnsi="Times New Roman"/>
        </w:rPr>
        <w:t>кислоторастворимого</w:t>
      </w:r>
      <w:proofErr w:type="spellEnd"/>
      <w:r>
        <w:rPr>
          <w:rFonts w:ascii="Times New Roman" w:hAnsi="Times New Roman"/>
        </w:rPr>
        <w:t xml:space="preserve"> обломочного материала с помощью кислотной композиции,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 этом кислотная композиция содержит ингибитор коррозии и является достаточно сбалансированной для выполнения операции растворения </w:t>
      </w:r>
      <w:proofErr w:type="spellStart"/>
      <w:r>
        <w:rPr>
          <w:rFonts w:ascii="Times New Roman" w:hAnsi="Times New Roman"/>
        </w:rPr>
        <w:t>кислоторастворимого</w:t>
      </w:r>
      <w:proofErr w:type="spellEnd"/>
      <w:r>
        <w:rPr>
          <w:rFonts w:ascii="Times New Roman" w:hAnsi="Times New Roman"/>
        </w:rPr>
        <w:t xml:space="preserve"> обломочного материала в пределах периода времени, в течение которого инструмент, или бурильная труба, или насосно-компрессорная труба будут оставаться с приемлемым (в некоторых случаях минимальным) коррозионным повреждением от воздействия кислотной композиции.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31. Способ осуществления внутрискважинной операции для установки кислотной ванны или перфорирования в кислоте ствола скважины, включающий следующие этапы: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обеспечение ствола скважины, для которого необходимо стимулирование;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введение пробки в ствол скважины в заданном месте;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одновременное введение в ствол скважины перфорирующего инструмента и кислотной композиции для установки кислотной ванны;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размещение инструмента в упомянутом заданном месте;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перфорирование ствола скважины инструментом, создавая таким образом перфорированную область; и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обеспечение промывочной кислоте возможности находиться в контакте с перфорированной областью в течение заданного периода времени; </w:t>
      </w:r>
    </w:p>
    <w:p w:rsidR="00BB12A8" w:rsidRDefault="00BB12A8" w:rsidP="00BB12A8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 этом кислотная композиция содержит ингибитор коррозии и является достаточно сбалансированной для выполнения операции растворения </w:t>
      </w:r>
      <w:proofErr w:type="spellStart"/>
      <w:r>
        <w:rPr>
          <w:rFonts w:ascii="Times New Roman" w:hAnsi="Times New Roman"/>
        </w:rPr>
        <w:t>кислоторастворимого</w:t>
      </w:r>
      <w:proofErr w:type="spellEnd"/>
      <w:r>
        <w:rPr>
          <w:rFonts w:ascii="Times New Roman" w:hAnsi="Times New Roman"/>
        </w:rPr>
        <w:t xml:space="preserve"> обломочного материала в пределах периода времени, в течение которого инструмент, или бурильная труба, или насосно-компрессорная труба будут оставаться с приемлемым (в некоторых случаях минимальным) коррозионным повреждением от воздействия кислотной композиции.</w:t>
      </w:r>
    </w:p>
    <w:p w:rsidR="00D54DA9" w:rsidRDefault="00BB12A8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2A8"/>
    <w:rsid w:val="00605462"/>
    <w:rsid w:val="00BB12A8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4E165A-DA92-403C-93E2-0796AC21C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2A8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BB12A8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1740</Words>
  <Characters>9919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2022-05-05T06:18:00Z</dcterms:created>
  <dcterms:modified xsi:type="dcterms:W3CDTF">2022-05-05T06:18:00Z</dcterms:modified>
</cp:coreProperties>
</file>