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0D7" w:rsidRDefault="00B160D7" w:rsidP="00B160D7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B160D7" w:rsidRDefault="00B160D7" w:rsidP="00B160D7">
      <w:pPr>
        <w:suppressLineNumbers/>
        <w:jc w:val="center"/>
        <w:rPr>
          <w:b/>
          <w:i/>
        </w:rPr>
      </w:pPr>
    </w:p>
    <w:p w:rsidR="00D54DA9" w:rsidRDefault="00B160D7" w:rsidP="00B160D7">
      <w:pPr>
        <w:jc w:val="both"/>
      </w:pPr>
      <w:r>
        <w:t>Непрерывное прессовое устройство для изготовления длинномерных профилей из порошковых материалов содержащий бункер исходных материалов (</w:t>
      </w:r>
      <w:proofErr w:type="spellStart"/>
      <w:r>
        <w:t>фидстока</w:t>
      </w:r>
      <w:proofErr w:type="spellEnd"/>
      <w:r>
        <w:t xml:space="preserve">), привод, обогреваемый инжекционный цилиндр, шнек, шиберной задвижки, подвижную и неподвижную плиту, гидроцилиндры для привода движения пресс-штемпеля, </w:t>
      </w:r>
      <w:r>
        <w:rPr>
          <w:b/>
          <w:bCs/>
          <w:i/>
          <w:iCs/>
        </w:rPr>
        <w:t>отличающийся</w:t>
      </w:r>
      <w:r>
        <w:t xml:space="preserve"> тем, что дополнительно установлен статический винтообразный смеситель, соединенный последовательно к корпусу инжекционного цилиндра</w:t>
      </w:r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0D7"/>
    <w:rsid w:val="00605462"/>
    <w:rsid w:val="00B160D7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91B1DC-BAB4-496D-91FF-9CC47D666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60D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2022-05-05T06:08:00Z</dcterms:created>
  <dcterms:modified xsi:type="dcterms:W3CDTF">2022-05-05T06:08:00Z</dcterms:modified>
</cp:coreProperties>
</file>